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5B" w:rsidRPr="006D51EC" w:rsidRDefault="00A36197" w:rsidP="001F6682">
      <w:pPr>
        <w:ind w:right="49"/>
        <w:jc w:val="both"/>
        <w:rPr>
          <w:sz w:val="24"/>
          <w:szCs w:val="24"/>
        </w:rPr>
      </w:pPr>
      <w:r w:rsidRPr="006D51EC">
        <w:rPr>
          <w:b/>
          <w:sz w:val="24"/>
          <w:szCs w:val="24"/>
        </w:rPr>
        <w:t>ATA DA</w:t>
      </w:r>
      <w:r w:rsidR="001F6682">
        <w:rPr>
          <w:b/>
          <w:sz w:val="24"/>
          <w:szCs w:val="24"/>
        </w:rPr>
        <w:t xml:space="preserve"> REUNIÃO DA COMISSÃO</w:t>
      </w:r>
      <w:r w:rsidR="00822BEC" w:rsidRPr="006D51EC">
        <w:rPr>
          <w:b/>
          <w:sz w:val="24"/>
          <w:szCs w:val="24"/>
        </w:rPr>
        <w:t xml:space="preserve"> DE LICITAÇÃO D</w:t>
      </w:r>
      <w:r w:rsidR="001F6682">
        <w:rPr>
          <w:b/>
          <w:sz w:val="24"/>
          <w:szCs w:val="24"/>
        </w:rPr>
        <w:t xml:space="preserve">A CÂMARA MUNICIPAL DE SANTANA DA VARGEM </w:t>
      </w:r>
      <w:r w:rsidR="00822BEC" w:rsidRPr="006D51EC">
        <w:rPr>
          <w:b/>
          <w:sz w:val="24"/>
          <w:szCs w:val="24"/>
        </w:rPr>
        <w:t xml:space="preserve">PARA </w:t>
      </w:r>
      <w:r w:rsidR="001F6682">
        <w:rPr>
          <w:b/>
          <w:sz w:val="24"/>
          <w:szCs w:val="24"/>
        </w:rPr>
        <w:t>DELIBERAÇÃO SOBRE ASSUNTOS PROPOSTOS NO OFÍCIO XX</w:t>
      </w:r>
    </w:p>
    <w:p w:rsidR="004C4BC0" w:rsidRPr="006D51EC" w:rsidRDefault="004C4BC0">
      <w:pPr>
        <w:ind w:left="3686" w:right="49"/>
        <w:jc w:val="both"/>
        <w:rPr>
          <w:sz w:val="24"/>
          <w:szCs w:val="24"/>
        </w:rPr>
      </w:pPr>
    </w:p>
    <w:p w:rsidR="00D25C7B" w:rsidRPr="006D51EC" w:rsidRDefault="00822BEC" w:rsidP="000C472F">
      <w:pPr>
        <w:pStyle w:val="Default"/>
        <w:jc w:val="both"/>
        <w:rPr>
          <w:rFonts w:ascii="Times New Roman" w:hAnsi="Times New Roman" w:cs="Times New Roman"/>
        </w:rPr>
      </w:pPr>
      <w:r w:rsidRPr="008073F0">
        <w:rPr>
          <w:rFonts w:ascii="Times New Roman" w:hAnsi="Times New Roman" w:cs="Times New Roman"/>
        </w:rPr>
        <w:t xml:space="preserve">Às </w:t>
      </w:r>
      <w:r w:rsidR="003007FE">
        <w:rPr>
          <w:rFonts w:ascii="Times New Roman" w:hAnsi="Times New Roman" w:cs="Times New Roman"/>
        </w:rPr>
        <w:t>16</w:t>
      </w:r>
      <w:r w:rsidR="00560DEC" w:rsidRPr="008073F0">
        <w:rPr>
          <w:rFonts w:ascii="Times New Roman" w:hAnsi="Times New Roman" w:cs="Times New Roman"/>
        </w:rPr>
        <w:t xml:space="preserve"> horas</w:t>
      </w:r>
      <w:r w:rsidRPr="008073F0">
        <w:rPr>
          <w:rFonts w:ascii="Times New Roman" w:hAnsi="Times New Roman" w:cs="Times New Roman"/>
        </w:rPr>
        <w:t xml:space="preserve"> do dia </w:t>
      </w:r>
      <w:r w:rsidR="003007FE">
        <w:rPr>
          <w:rFonts w:ascii="Times New Roman" w:hAnsi="Times New Roman" w:cs="Times New Roman"/>
        </w:rPr>
        <w:t>30</w:t>
      </w:r>
      <w:r w:rsidR="00504C6D" w:rsidRPr="008073F0">
        <w:rPr>
          <w:rFonts w:ascii="Times New Roman" w:hAnsi="Times New Roman" w:cs="Times New Roman"/>
        </w:rPr>
        <w:t xml:space="preserve"> </w:t>
      </w:r>
      <w:r w:rsidRPr="008073F0">
        <w:rPr>
          <w:rFonts w:ascii="Times New Roman" w:hAnsi="Times New Roman" w:cs="Times New Roman"/>
        </w:rPr>
        <w:t xml:space="preserve">do mês de </w:t>
      </w:r>
      <w:r w:rsidR="003007FE">
        <w:rPr>
          <w:rFonts w:ascii="Times New Roman" w:hAnsi="Times New Roman" w:cs="Times New Roman"/>
        </w:rPr>
        <w:t>outubro</w:t>
      </w:r>
      <w:r w:rsidRPr="008073F0">
        <w:rPr>
          <w:rFonts w:ascii="Times New Roman" w:hAnsi="Times New Roman" w:cs="Times New Roman"/>
        </w:rPr>
        <w:t xml:space="preserve"> do ano de dois mil e </w:t>
      </w:r>
      <w:r w:rsidR="00A338DD">
        <w:rPr>
          <w:rFonts w:ascii="Times New Roman" w:hAnsi="Times New Roman" w:cs="Times New Roman"/>
        </w:rPr>
        <w:t>dezoito</w:t>
      </w:r>
      <w:r w:rsidRPr="008073F0">
        <w:rPr>
          <w:rFonts w:ascii="Times New Roman" w:hAnsi="Times New Roman" w:cs="Times New Roman"/>
        </w:rPr>
        <w:t xml:space="preserve">, </w:t>
      </w:r>
      <w:r w:rsidR="00A338DD">
        <w:rPr>
          <w:rFonts w:ascii="Times New Roman" w:hAnsi="Times New Roman" w:cs="Times New Roman"/>
        </w:rPr>
        <w:t xml:space="preserve">reuniu-se a Comissão de Licitação </w:t>
      </w:r>
      <w:r w:rsidRPr="008073F0">
        <w:rPr>
          <w:rFonts w:ascii="Times New Roman" w:hAnsi="Times New Roman" w:cs="Times New Roman"/>
        </w:rPr>
        <w:t xml:space="preserve">na Sala de Reunião </w:t>
      </w:r>
      <w:r w:rsidR="00A338DD">
        <w:rPr>
          <w:rFonts w:ascii="Times New Roman" w:hAnsi="Times New Roman" w:cs="Times New Roman"/>
        </w:rPr>
        <w:t>das Comissões para deliberar sobre</w:t>
      </w:r>
      <w:r w:rsidR="003007FE">
        <w:rPr>
          <w:rFonts w:ascii="Times New Roman" w:hAnsi="Times New Roman" w:cs="Times New Roman"/>
        </w:rPr>
        <w:t xml:space="preserve"> os assunto propostos no ofício</w:t>
      </w:r>
      <w:r w:rsidR="00A338DD">
        <w:rPr>
          <w:rFonts w:ascii="Times New Roman" w:hAnsi="Times New Roman" w:cs="Times New Roman"/>
        </w:rPr>
        <w:t xml:space="preserve">, a saber, sobre </w:t>
      </w:r>
      <w:r w:rsidR="00A338DD" w:rsidRPr="00A338DD">
        <w:rPr>
          <w:rFonts w:ascii="Times New Roman" w:hAnsi="Times New Roman" w:cs="Times New Roman"/>
        </w:rPr>
        <w:t>a escolha da modalidade, dispensa ou inexigibilidade de licitação e o tipo de certame a ser adotado conforme exigência do caput do art. 38 da Lei 8.666/93;</w:t>
      </w:r>
      <w:r w:rsidR="00A338DD">
        <w:rPr>
          <w:rFonts w:ascii="Times New Roman" w:hAnsi="Times New Roman" w:cs="Times New Roman"/>
        </w:rPr>
        <w:t xml:space="preserve"> sobre o</w:t>
      </w:r>
      <w:r w:rsidR="00A338DD" w:rsidRPr="00A338DD">
        <w:rPr>
          <w:rFonts w:ascii="Times New Roman" w:hAnsi="Times New Roman" w:cs="Times New Roman"/>
        </w:rPr>
        <w:t xml:space="preserve"> estabelecimento dos critérios de habilitação, conforme </w:t>
      </w:r>
      <w:bookmarkStart w:id="0" w:name="_GoBack"/>
      <w:bookmarkEnd w:id="0"/>
      <w:r w:rsidR="00A338DD" w:rsidRPr="00A338DD">
        <w:rPr>
          <w:rFonts w:ascii="Times New Roman" w:hAnsi="Times New Roman" w:cs="Times New Roman"/>
        </w:rPr>
        <w:t>o art. 27 da Lei 8.666/93</w:t>
      </w:r>
      <w:r w:rsidR="00A338DD">
        <w:rPr>
          <w:rFonts w:ascii="Times New Roman" w:hAnsi="Times New Roman" w:cs="Times New Roman"/>
        </w:rPr>
        <w:t xml:space="preserve"> e sobre </w:t>
      </w:r>
      <w:r w:rsidR="00A338DD" w:rsidRPr="00A338DD">
        <w:rPr>
          <w:rFonts w:ascii="Times New Roman" w:hAnsi="Times New Roman" w:cs="Times New Roman"/>
        </w:rPr>
        <w:t>a obrigatoriedade ou não do “termo de contrato” conforme o § 4 e o caput do art. 62 da Lei 8.666/93</w:t>
      </w:r>
      <w:r w:rsidR="00D25C7B" w:rsidRPr="008073F0">
        <w:rPr>
          <w:rFonts w:ascii="Times New Roman" w:hAnsi="Times New Roman" w:cs="Times New Roman"/>
        </w:rPr>
        <w:t>.</w:t>
      </w:r>
      <w:r w:rsidR="000C472F">
        <w:rPr>
          <w:rFonts w:ascii="Times New Roman" w:hAnsi="Times New Roman" w:cs="Times New Roman"/>
        </w:rPr>
        <w:t xml:space="preserve"> </w:t>
      </w:r>
      <w:r w:rsidR="00D538BC">
        <w:rPr>
          <w:rFonts w:ascii="Times New Roman" w:hAnsi="Times New Roman" w:cs="Times New Roman"/>
        </w:rPr>
        <w:t>Desta forma</w:t>
      </w:r>
      <w:r w:rsidR="000C472F">
        <w:rPr>
          <w:rFonts w:ascii="Times New Roman" w:hAnsi="Times New Roman" w:cs="Times New Roman"/>
        </w:rPr>
        <w:t xml:space="preserve">  a Comissão de Licitação </w:t>
      </w:r>
      <w:r w:rsidR="00D538BC">
        <w:rPr>
          <w:rFonts w:ascii="Times New Roman" w:hAnsi="Times New Roman" w:cs="Times New Roman"/>
        </w:rPr>
        <w:t xml:space="preserve">após a deliberação </w:t>
      </w:r>
      <w:r w:rsidR="000C472F" w:rsidRPr="000C472F">
        <w:rPr>
          <w:rFonts w:ascii="Times New Roman" w:hAnsi="Times New Roman" w:cs="Times New Roman"/>
        </w:rPr>
        <w:t xml:space="preserve">optou por escolher a </w:t>
      </w:r>
      <w:r w:rsidR="0022601D">
        <w:rPr>
          <w:rFonts w:ascii="Times New Roman" w:hAnsi="Times New Roman" w:cs="Times New Roman"/>
        </w:rPr>
        <w:t xml:space="preserve">dispensa de licitação para aquisição do objeto </w:t>
      </w:r>
      <w:r w:rsidR="000C472F" w:rsidRPr="000C472F">
        <w:rPr>
          <w:rFonts w:ascii="Times New Roman" w:hAnsi="Times New Roman" w:cs="Times New Roman"/>
        </w:rPr>
        <w:t xml:space="preserve">porque </w:t>
      </w:r>
      <w:r w:rsidR="0022601D">
        <w:rPr>
          <w:rFonts w:ascii="Times New Roman" w:hAnsi="Times New Roman" w:cs="Times New Roman"/>
        </w:rPr>
        <w:t xml:space="preserve">o valor médio dos preços pesquisados é de 2.102,80, o que fica bem abaixo da autorização de dispensa constante do inciso II do artigo 24 </w:t>
      </w:r>
      <w:r w:rsidR="00D538BC">
        <w:rPr>
          <w:rFonts w:ascii="Times New Roman" w:hAnsi="Times New Roman" w:cs="Times New Roman"/>
        </w:rPr>
        <w:t xml:space="preserve">da Lei 8.666/93; </w:t>
      </w:r>
      <w:r w:rsidR="000C472F" w:rsidRPr="000C472F">
        <w:rPr>
          <w:rFonts w:ascii="Times New Roman" w:hAnsi="Times New Roman" w:cs="Times New Roman"/>
        </w:rPr>
        <w:t xml:space="preserve">Acerca do estabelecimento dos critérios de habilitação, a Comissão optou por escolher </w:t>
      </w:r>
      <w:r w:rsidR="00A31415">
        <w:rPr>
          <w:rFonts w:ascii="Times New Roman" w:hAnsi="Times New Roman" w:cs="Times New Roman"/>
        </w:rPr>
        <w:t>como critérios a serem adotados somente</w:t>
      </w:r>
      <w:r w:rsidR="00A31415" w:rsidRPr="00A31415">
        <w:t xml:space="preserve"> </w:t>
      </w:r>
      <w:r w:rsidR="00A31415" w:rsidRPr="0000609C">
        <w:t>a comprovação de regularidade junto ao INSS, bem co</w:t>
      </w:r>
      <w:r w:rsidR="00A31415">
        <w:t xml:space="preserve">mo a regularidade junto ao FGTS, pois, conforme a </w:t>
      </w:r>
      <w:r w:rsidR="00A31415" w:rsidRPr="0000609C">
        <w:t>Decisão 1.241</w:t>
      </w:r>
      <w:r w:rsidR="00A31415">
        <w:t>/2002 TCU-Plenário que dispõe: “</w:t>
      </w:r>
      <w:r w:rsidR="00A31415" w:rsidRPr="0000609C">
        <w:t>na contratação por dispensa de licitação com fundamento nos incisos I e II do art. 24 da Lei de Licitação (baixo valor), a documentação a ser exigida será tão somente a comprovação de regularidade junto ao INSS, bem co</w:t>
      </w:r>
      <w:r w:rsidR="00A31415">
        <w:t>mo a regularidade junto ao FGTS”</w:t>
      </w:r>
      <w:r w:rsidR="00A31415" w:rsidRPr="0000609C">
        <w:t xml:space="preserve">. </w:t>
      </w:r>
      <w:r w:rsidR="00A31415">
        <w:t xml:space="preserve">Também se verifica que as exigências de habilitação se dão em caso de modalidade de licitação, o que não é o caso, exigindo-se somente o cumprimento do que dispõe o §3º do art. 195 da Constituição Federal. E mesmo que fosse licitação </w:t>
      </w:r>
      <w:r w:rsidR="00613DB0">
        <w:rPr>
          <w:rFonts w:ascii="Times New Roman" w:hAnsi="Times New Roman" w:cs="Times New Roman"/>
        </w:rPr>
        <w:t>o §1°</w:t>
      </w:r>
      <w:r w:rsidR="000C472F" w:rsidRPr="000C472F">
        <w:rPr>
          <w:rFonts w:ascii="Times New Roman" w:hAnsi="Times New Roman" w:cs="Times New Roman"/>
        </w:rPr>
        <w:t xml:space="preserve"> </w:t>
      </w:r>
      <w:r w:rsidR="00613DB0">
        <w:rPr>
          <w:rFonts w:ascii="Times New Roman" w:hAnsi="Times New Roman" w:cs="Times New Roman"/>
        </w:rPr>
        <w:t xml:space="preserve">do art. 32 </w:t>
      </w:r>
      <w:r w:rsidR="000C472F" w:rsidRPr="000C472F">
        <w:rPr>
          <w:rFonts w:ascii="Times New Roman" w:hAnsi="Times New Roman" w:cs="Times New Roman"/>
        </w:rPr>
        <w:t>da Lei 8.666/93</w:t>
      </w:r>
      <w:r w:rsidR="00A31415">
        <w:rPr>
          <w:rFonts w:ascii="Times New Roman" w:hAnsi="Times New Roman" w:cs="Times New Roman"/>
        </w:rPr>
        <w:t xml:space="preserve"> dispõe</w:t>
      </w:r>
      <w:r w:rsidR="00613DB0">
        <w:rPr>
          <w:rFonts w:ascii="Times New Roman" w:hAnsi="Times New Roman" w:cs="Times New Roman"/>
        </w:rPr>
        <w:t xml:space="preserve"> que “</w:t>
      </w:r>
      <w:r w:rsidR="00613DB0">
        <w:rPr>
          <w:rFonts w:ascii="Arial" w:hAnsi="Arial" w:cs="Arial"/>
          <w:sz w:val="20"/>
          <w:szCs w:val="20"/>
          <w:shd w:val="clear" w:color="auto" w:fill="FFFFFF"/>
        </w:rPr>
        <w:t xml:space="preserve">A documentação de que tratam os </w:t>
      </w:r>
      <w:proofErr w:type="spellStart"/>
      <w:r w:rsidR="00613DB0">
        <w:rPr>
          <w:rFonts w:ascii="Arial" w:hAnsi="Arial" w:cs="Arial"/>
          <w:sz w:val="20"/>
          <w:szCs w:val="20"/>
          <w:shd w:val="clear" w:color="auto" w:fill="FFFFFF"/>
        </w:rPr>
        <w:t>arts</w:t>
      </w:r>
      <w:proofErr w:type="spellEnd"/>
      <w:r w:rsidR="00613DB0">
        <w:rPr>
          <w:rFonts w:ascii="Arial" w:hAnsi="Arial" w:cs="Arial"/>
          <w:sz w:val="20"/>
          <w:szCs w:val="20"/>
          <w:shd w:val="clear" w:color="auto" w:fill="FFFFFF"/>
        </w:rPr>
        <w:t xml:space="preserve">. 28 a 31 desta Lei poderá ser dispensada, no todo ou em parte, nos casos de convite, concurso, fornecimento de </w:t>
      </w:r>
      <w:r w:rsidR="00613DB0" w:rsidRPr="00A31415">
        <w:rPr>
          <w:rFonts w:ascii="Arial" w:hAnsi="Arial" w:cs="Arial"/>
          <w:b/>
          <w:sz w:val="20"/>
          <w:szCs w:val="20"/>
          <w:shd w:val="clear" w:color="auto" w:fill="FFFFFF"/>
        </w:rPr>
        <w:t>bens para pronta entrega</w:t>
      </w:r>
      <w:r w:rsidR="00613DB0">
        <w:rPr>
          <w:rFonts w:ascii="Arial" w:hAnsi="Arial" w:cs="Arial"/>
          <w:sz w:val="20"/>
          <w:szCs w:val="20"/>
          <w:shd w:val="clear" w:color="auto" w:fill="FFFFFF"/>
        </w:rPr>
        <w:t xml:space="preserve"> e leilão.”</w:t>
      </w:r>
      <w:r w:rsidR="000C472F" w:rsidRPr="000C472F">
        <w:rPr>
          <w:rFonts w:ascii="Times New Roman" w:hAnsi="Times New Roman" w:cs="Times New Roman"/>
        </w:rPr>
        <w:t>;</w:t>
      </w:r>
      <w:r w:rsidR="00D538BC">
        <w:rPr>
          <w:rFonts w:ascii="Times New Roman" w:hAnsi="Times New Roman" w:cs="Times New Roman"/>
        </w:rPr>
        <w:t xml:space="preserve"> a</w:t>
      </w:r>
      <w:r w:rsidR="000C472F" w:rsidRPr="000C472F">
        <w:rPr>
          <w:rFonts w:ascii="Times New Roman" w:hAnsi="Times New Roman" w:cs="Times New Roman"/>
        </w:rPr>
        <w:t xml:space="preserve">cerca </w:t>
      </w:r>
      <w:r w:rsidR="00A31415" w:rsidRPr="000C472F">
        <w:rPr>
          <w:rFonts w:ascii="Times New Roman" w:hAnsi="Times New Roman" w:cs="Times New Roman"/>
        </w:rPr>
        <w:t>da obrigatoriedade</w:t>
      </w:r>
      <w:r w:rsidR="000C472F" w:rsidRPr="000C472F">
        <w:rPr>
          <w:rFonts w:ascii="Times New Roman" w:hAnsi="Times New Roman" w:cs="Times New Roman"/>
        </w:rPr>
        <w:t xml:space="preserve"> de elaboração de “termo de </w:t>
      </w:r>
      <w:r w:rsidR="00A31415" w:rsidRPr="000C472F">
        <w:rPr>
          <w:rFonts w:ascii="Times New Roman" w:hAnsi="Times New Roman" w:cs="Times New Roman"/>
        </w:rPr>
        <w:t>contrato” a</w:t>
      </w:r>
      <w:r w:rsidR="000C472F" w:rsidRPr="000C472F">
        <w:rPr>
          <w:rFonts w:ascii="Times New Roman" w:hAnsi="Times New Roman" w:cs="Times New Roman"/>
        </w:rPr>
        <w:t xml:space="preserve"> Comissão optou por escolher </w:t>
      </w:r>
      <w:r w:rsidR="008F3EC3">
        <w:rPr>
          <w:rFonts w:ascii="Times New Roman" w:hAnsi="Times New Roman" w:cs="Times New Roman"/>
        </w:rPr>
        <w:t>somente a nota de empenho de despesa</w:t>
      </w:r>
      <w:r w:rsidR="000C472F" w:rsidRPr="000C472F">
        <w:rPr>
          <w:rFonts w:ascii="Times New Roman" w:hAnsi="Times New Roman" w:cs="Times New Roman"/>
        </w:rPr>
        <w:t xml:space="preserve"> </w:t>
      </w:r>
      <w:r w:rsidR="008F3EC3">
        <w:rPr>
          <w:rFonts w:ascii="Times New Roman" w:hAnsi="Times New Roman" w:cs="Times New Roman"/>
        </w:rPr>
        <w:t xml:space="preserve"> em lugar de termo de contrato por </w:t>
      </w:r>
      <w:proofErr w:type="gramStart"/>
      <w:r w:rsidR="008F3EC3">
        <w:rPr>
          <w:rFonts w:ascii="Times New Roman" w:hAnsi="Times New Roman" w:cs="Times New Roman"/>
        </w:rPr>
        <w:t>não</w:t>
      </w:r>
      <w:proofErr w:type="gramEnd"/>
      <w:r w:rsidR="008F3EC3">
        <w:rPr>
          <w:rFonts w:ascii="Times New Roman" w:hAnsi="Times New Roman" w:cs="Times New Roman"/>
        </w:rPr>
        <w:t xml:space="preserve"> se tratar de </w:t>
      </w:r>
      <w:r w:rsidR="008F3EC3" w:rsidRPr="008F3EC3">
        <w:rPr>
          <w:rFonts w:ascii="Times New Roman" w:hAnsi="Times New Roman" w:cs="Times New Roman"/>
        </w:rPr>
        <w:t>preços estejam compreendidos nos limites das modalidades de licitação</w:t>
      </w:r>
      <w:r w:rsidR="008F3EC3">
        <w:rPr>
          <w:rFonts w:ascii="Times New Roman" w:hAnsi="Times New Roman" w:cs="Times New Roman"/>
        </w:rPr>
        <w:t xml:space="preserve">, </w:t>
      </w:r>
      <w:r w:rsidR="008F3EC3" w:rsidRPr="008F3EC3">
        <w:rPr>
          <w:rFonts w:ascii="Times New Roman" w:hAnsi="Times New Roman" w:cs="Times New Roman"/>
        </w:rPr>
        <w:t>concorrência e tomada de preços</w:t>
      </w:r>
      <w:r w:rsidR="008F3EC3">
        <w:rPr>
          <w:rFonts w:ascii="Times New Roman" w:hAnsi="Times New Roman" w:cs="Times New Roman"/>
        </w:rPr>
        <w:t xml:space="preserve">, e por se tratar de </w:t>
      </w:r>
      <w:r w:rsidR="008F3EC3" w:rsidRPr="008F3EC3">
        <w:rPr>
          <w:rFonts w:ascii="Times New Roman" w:hAnsi="Times New Roman" w:cs="Times New Roman"/>
        </w:rPr>
        <w:t xml:space="preserve">compra com entrega imediata e integral dos bens adquiridos </w:t>
      </w:r>
      <w:r w:rsidR="008F3EC3">
        <w:rPr>
          <w:rFonts w:ascii="Times New Roman" w:hAnsi="Times New Roman" w:cs="Times New Roman"/>
        </w:rPr>
        <w:t>de acordo com o §4° e o caput do art. 62</w:t>
      </w:r>
      <w:r w:rsidR="000C472F" w:rsidRPr="000C472F">
        <w:rPr>
          <w:rFonts w:ascii="Times New Roman" w:hAnsi="Times New Roman" w:cs="Times New Roman"/>
        </w:rPr>
        <w:t xml:space="preserve">  da Lei 8.666/93</w:t>
      </w:r>
      <w:r w:rsidR="008073F0" w:rsidRPr="008073F0">
        <w:rPr>
          <w:rFonts w:ascii="Times New Roman" w:hAnsi="Times New Roman" w:cs="Times New Roman"/>
        </w:rPr>
        <w:t>.</w:t>
      </w:r>
      <w:r w:rsidR="00D25C7B" w:rsidRPr="008073F0">
        <w:rPr>
          <w:rFonts w:ascii="Times New Roman" w:hAnsi="Times New Roman" w:cs="Times New Roman"/>
        </w:rPr>
        <w:t xml:space="preserve">  Encerrada a reunião, foi lavrada a presente Ata que, lida e achada conforme, vai assinada pelos membros da Comissão de Licitação e </w:t>
      </w:r>
      <w:r w:rsidR="00D538BC">
        <w:rPr>
          <w:rFonts w:ascii="Times New Roman" w:hAnsi="Times New Roman" w:cs="Times New Roman"/>
        </w:rPr>
        <w:t>encaminhada à presidência do órgão</w:t>
      </w:r>
      <w:r w:rsidR="00D25C7B" w:rsidRPr="006D51EC">
        <w:rPr>
          <w:rFonts w:ascii="Times New Roman" w:hAnsi="Times New Roman" w:cs="Times New Roman"/>
        </w:rPr>
        <w:t>.</w:t>
      </w:r>
    </w:p>
    <w:p w:rsidR="00D25C7B" w:rsidRPr="006D51EC" w:rsidRDefault="00D25C7B" w:rsidP="00D25C7B">
      <w:pPr>
        <w:pStyle w:val="Ttulo1"/>
        <w:ind w:right="49"/>
        <w:rPr>
          <w:szCs w:val="24"/>
        </w:rPr>
      </w:pPr>
    </w:p>
    <w:p w:rsidR="00D25C7B" w:rsidRPr="006D51EC" w:rsidRDefault="00D25C7B" w:rsidP="00D25C7B">
      <w:pPr>
        <w:pStyle w:val="Ttulo1"/>
        <w:ind w:right="49"/>
        <w:rPr>
          <w:szCs w:val="24"/>
        </w:rPr>
      </w:pPr>
      <w:r w:rsidRPr="006D51EC">
        <w:rPr>
          <w:szCs w:val="24"/>
        </w:rPr>
        <w:t xml:space="preserve">Comissão de Licitação, em </w:t>
      </w:r>
      <w:r w:rsidR="008F3EC3">
        <w:rPr>
          <w:szCs w:val="24"/>
        </w:rPr>
        <w:t>29</w:t>
      </w:r>
      <w:r w:rsidRPr="006D51EC">
        <w:rPr>
          <w:szCs w:val="24"/>
        </w:rPr>
        <w:t xml:space="preserve"> de </w:t>
      </w:r>
      <w:r w:rsidR="008F3EC3">
        <w:rPr>
          <w:szCs w:val="24"/>
        </w:rPr>
        <w:t>outubro</w:t>
      </w:r>
      <w:r w:rsidRPr="006D51EC">
        <w:rPr>
          <w:szCs w:val="24"/>
        </w:rPr>
        <w:t xml:space="preserve"> de 201</w:t>
      </w:r>
      <w:r w:rsidR="00D538BC">
        <w:rPr>
          <w:szCs w:val="24"/>
        </w:rPr>
        <w:t>8</w:t>
      </w:r>
      <w:r w:rsidRPr="006D51EC">
        <w:rPr>
          <w:szCs w:val="24"/>
        </w:rPr>
        <w:t>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D25C7B" w:rsidRPr="006D51EC" w:rsidTr="000F5B42">
        <w:tc>
          <w:tcPr>
            <w:tcW w:w="4679" w:type="dxa"/>
            <w:vAlign w:val="bottom"/>
          </w:tcPr>
          <w:p w:rsidR="00D25C7B" w:rsidRPr="006D51EC" w:rsidRDefault="00D25C7B" w:rsidP="00D538BC">
            <w:pPr>
              <w:tabs>
                <w:tab w:val="left" w:pos="2198"/>
              </w:tabs>
              <w:ind w:left="356" w:right="74"/>
              <w:jc w:val="both"/>
              <w:rPr>
                <w:sz w:val="24"/>
                <w:szCs w:val="24"/>
              </w:rPr>
            </w:pPr>
            <w:r w:rsidRPr="006D51EC">
              <w:rPr>
                <w:sz w:val="24"/>
                <w:szCs w:val="24"/>
              </w:rPr>
              <w:t>E</w:t>
            </w:r>
            <w:r w:rsidR="00D538BC">
              <w:rPr>
                <w:sz w:val="24"/>
                <w:szCs w:val="24"/>
              </w:rPr>
              <w:t>merson</w:t>
            </w:r>
            <w:r w:rsidRPr="006D51EC">
              <w:rPr>
                <w:sz w:val="24"/>
                <w:szCs w:val="24"/>
              </w:rPr>
              <w:t xml:space="preserve"> Silva</w:t>
            </w:r>
            <w:r w:rsidR="00D538BC">
              <w:rPr>
                <w:sz w:val="24"/>
                <w:szCs w:val="24"/>
              </w:rPr>
              <w:t xml:space="preserve"> Araújo</w:t>
            </w:r>
            <w:r w:rsidRPr="006D51EC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D25C7B" w:rsidRPr="006D51EC" w:rsidRDefault="00D25C7B" w:rsidP="00900A68">
            <w:pPr>
              <w:spacing w:before="120" w:after="120"/>
              <w:ind w:right="-142"/>
              <w:rPr>
                <w:sz w:val="24"/>
                <w:szCs w:val="24"/>
              </w:rPr>
            </w:pPr>
          </w:p>
        </w:tc>
      </w:tr>
      <w:tr w:rsidR="00D25C7B" w:rsidRPr="006D51EC" w:rsidTr="000F5B42">
        <w:tc>
          <w:tcPr>
            <w:tcW w:w="4679" w:type="dxa"/>
            <w:vAlign w:val="bottom"/>
          </w:tcPr>
          <w:p w:rsidR="00D25C7B" w:rsidRPr="006D51EC" w:rsidRDefault="00D538BC" w:rsidP="00900A68">
            <w:pPr>
              <w:tabs>
                <w:tab w:val="left" w:pos="2198"/>
              </w:tabs>
              <w:ind w:left="356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Aparecida Rafael</w:t>
            </w:r>
            <w:r w:rsidR="00D25C7B" w:rsidRPr="006D51EC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5C7B" w:rsidRPr="006D51EC" w:rsidRDefault="00D25C7B" w:rsidP="00900A68">
            <w:pPr>
              <w:spacing w:before="120" w:after="120"/>
              <w:ind w:right="-142"/>
              <w:rPr>
                <w:sz w:val="24"/>
                <w:szCs w:val="24"/>
              </w:rPr>
            </w:pPr>
          </w:p>
        </w:tc>
      </w:tr>
    </w:tbl>
    <w:p w:rsidR="00D25C7B" w:rsidRPr="006D51EC" w:rsidRDefault="00D25C7B" w:rsidP="00900A68">
      <w:pPr>
        <w:rPr>
          <w:sz w:val="24"/>
          <w:szCs w:val="24"/>
        </w:rPr>
      </w:pPr>
    </w:p>
    <w:p w:rsidR="00A366C9" w:rsidRPr="00C82AEF" w:rsidRDefault="00A366C9" w:rsidP="00900A68">
      <w:pPr>
        <w:rPr>
          <w:sz w:val="24"/>
          <w:szCs w:val="24"/>
        </w:rPr>
      </w:pPr>
    </w:p>
    <w:sectPr w:rsidR="00A366C9" w:rsidRPr="00C82AEF">
      <w:headerReference w:type="default" r:id="rId7"/>
      <w:footerReference w:type="even" r:id="rId8"/>
      <w:pgSz w:w="12240" w:h="15840"/>
      <w:pgMar w:top="454" w:right="851" w:bottom="567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94" w:rsidRDefault="00340894">
      <w:r>
        <w:separator/>
      </w:r>
    </w:p>
  </w:endnote>
  <w:endnote w:type="continuationSeparator" w:id="0">
    <w:p w:rsidR="00340894" w:rsidRDefault="0034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2FD" w:rsidRDefault="001732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32FD" w:rsidRDefault="001732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94" w:rsidRDefault="00340894">
      <w:r>
        <w:separator/>
      </w:r>
    </w:p>
  </w:footnote>
  <w:footnote w:type="continuationSeparator" w:id="0">
    <w:p w:rsidR="00340894" w:rsidRDefault="00340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070"/>
      <w:gridCol w:w="9070"/>
    </w:tblGrid>
    <w:tr w:rsidR="00BE7F58" w:rsidTr="00BE7F58">
      <w:trPr>
        <w:trHeight w:hRule="exact" w:val="857"/>
        <w:jc w:val="center"/>
      </w:trPr>
      <w:tc>
        <w:tcPr>
          <w:tcW w:w="851" w:type="dxa"/>
          <w:vAlign w:val="center"/>
        </w:tcPr>
        <w:p w:rsidR="00BE7F58" w:rsidRDefault="00BE7F58"/>
      </w:tc>
      <w:tc>
        <w:tcPr>
          <w:tcW w:w="9070" w:type="dxa"/>
        </w:tcPr>
        <w:p w:rsidR="00BE7F58" w:rsidRDefault="00BE7F58">
          <w:pPr>
            <w:pStyle w:val="Cabealho0"/>
            <w:ind w:left="116"/>
            <w:rPr>
              <w:rFonts w:ascii="Arial Black" w:hAnsi="Arial Black"/>
            </w:rPr>
          </w:pPr>
        </w:p>
      </w:tc>
      <w:tc>
        <w:tcPr>
          <w:tcW w:w="9070" w:type="dxa"/>
          <w:vAlign w:val="center"/>
        </w:tcPr>
        <w:p w:rsidR="00BE7F58" w:rsidRDefault="00BE7F58" w:rsidP="00BE7F58">
          <w:pPr>
            <w:pStyle w:val="Cabealho0"/>
            <w:rPr>
              <w:rFonts w:ascii="Arial" w:hAnsi="Arial"/>
            </w:rPr>
          </w:pPr>
        </w:p>
      </w:tc>
    </w:tr>
  </w:tbl>
  <w:p w:rsidR="001732FD" w:rsidRDefault="001732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79E"/>
    <w:multiLevelType w:val="singleLevel"/>
    <w:tmpl w:val="5D9A563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00"/>
    <w:rsid w:val="00000ACF"/>
    <w:rsid w:val="000035B9"/>
    <w:rsid w:val="00010F7F"/>
    <w:rsid w:val="00012260"/>
    <w:rsid w:val="00013BD1"/>
    <w:rsid w:val="0002237A"/>
    <w:rsid w:val="00024DD0"/>
    <w:rsid w:val="00031E39"/>
    <w:rsid w:val="00032FC4"/>
    <w:rsid w:val="000352B9"/>
    <w:rsid w:val="00036923"/>
    <w:rsid w:val="00044C53"/>
    <w:rsid w:val="00061C85"/>
    <w:rsid w:val="00070D77"/>
    <w:rsid w:val="00083C73"/>
    <w:rsid w:val="000841E3"/>
    <w:rsid w:val="0009257E"/>
    <w:rsid w:val="00096C06"/>
    <w:rsid w:val="000A3BE8"/>
    <w:rsid w:val="000B0AED"/>
    <w:rsid w:val="000C24B4"/>
    <w:rsid w:val="000C24B9"/>
    <w:rsid w:val="000C44B5"/>
    <w:rsid w:val="000C472F"/>
    <w:rsid w:val="000F4FC2"/>
    <w:rsid w:val="000F5B42"/>
    <w:rsid w:val="001173A3"/>
    <w:rsid w:val="001525DA"/>
    <w:rsid w:val="00161CCC"/>
    <w:rsid w:val="00163FA4"/>
    <w:rsid w:val="001723E1"/>
    <w:rsid w:val="001732FD"/>
    <w:rsid w:val="00187248"/>
    <w:rsid w:val="00197E5C"/>
    <w:rsid w:val="001A5BF1"/>
    <w:rsid w:val="001A6E70"/>
    <w:rsid w:val="001C192E"/>
    <w:rsid w:val="001D1E8F"/>
    <w:rsid w:val="001D58DB"/>
    <w:rsid w:val="001E2BA8"/>
    <w:rsid w:val="001E2EC2"/>
    <w:rsid w:val="001E6FF0"/>
    <w:rsid w:val="001F3B93"/>
    <w:rsid w:val="001F42A6"/>
    <w:rsid w:val="001F6682"/>
    <w:rsid w:val="0020244C"/>
    <w:rsid w:val="00210DF7"/>
    <w:rsid w:val="002134D7"/>
    <w:rsid w:val="00214FAB"/>
    <w:rsid w:val="00215919"/>
    <w:rsid w:val="0022601D"/>
    <w:rsid w:val="00231544"/>
    <w:rsid w:val="0023555C"/>
    <w:rsid w:val="00256264"/>
    <w:rsid w:val="002665BB"/>
    <w:rsid w:val="002909CC"/>
    <w:rsid w:val="00293AA0"/>
    <w:rsid w:val="00296539"/>
    <w:rsid w:val="00296B16"/>
    <w:rsid w:val="002A301D"/>
    <w:rsid w:val="002A4201"/>
    <w:rsid w:val="002B5B1B"/>
    <w:rsid w:val="002C1837"/>
    <w:rsid w:val="002C43D4"/>
    <w:rsid w:val="002D390F"/>
    <w:rsid w:val="002E394C"/>
    <w:rsid w:val="002F2B96"/>
    <w:rsid w:val="002F45F9"/>
    <w:rsid w:val="002F76D2"/>
    <w:rsid w:val="003007FE"/>
    <w:rsid w:val="003010FE"/>
    <w:rsid w:val="003029DC"/>
    <w:rsid w:val="00324ED2"/>
    <w:rsid w:val="00327D7A"/>
    <w:rsid w:val="00340894"/>
    <w:rsid w:val="00341D2B"/>
    <w:rsid w:val="00343224"/>
    <w:rsid w:val="00344421"/>
    <w:rsid w:val="00345B56"/>
    <w:rsid w:val="00362074"/>
    <w:rsid w:val="00377ABC"/>
    <w:rsid w:val="00392CEE"/>
    <w:rsid w:val="003A3682"/>
    <w:rsid w:val="003A4567"/>
    <w:rsid w:val="003F161F"/>
    <w:rsid w:val="00414C7A"/>
    <w:rsid w:val="004349EE"/>
    <w:rsid w:val="00446786"/>
    <w:rsid w:val="00453436"/>
    <w:rsid w:val="0046240C"/>
    <w:rsid w:val="00491F4E"/>
    <w:rsid w:val="00492FDC"/>
    <w:rsid w:val="00493F11"/>
    <w:rsid w:val="004A4827"/>
    <w:rsid w:val="004A6254"/>
    <w:rsid w:val="004B53F4"/>
    <w:rsid w:val="004C1CFD"/>
    <w:rsid w:val="004C4BC0"/>
    <w:rsid w:val="004C5249"/>
    <w:rsid w:val="004D11F5"/>
    <w:rsid w:val="004E20B1"/>
    <w:rsid w:val="004F70BA"/>
    <w:rsid w:val="00504C6D"/>
    <w:rsid w:val="00510D5A"/>
    <w:rsid w:val="005355F8"/>
    <w:rsid w:val="005502DD"/>
    <w:rsid w:val="00560DEC"/>
    <w:rsid w:val="005662C0"/>
    <w:rsid w:val="00597414"/>
    <w:rsid w:val="005A492B"/>
    <w:rsid w:val="005C30B2"/>
    <w:rsid w:val="005C45D6"/>
    <w:rsid w:val="005C4E19"/>
    <w:rsid w:val="005C4F77"/>
    <w:rsid w:val="005D08D1"/>
    <w:rsid w:val="005D26AF"/>
    <w:rsid w:val="005E5D61"/>
    <w:rsid w:val="005F6CA2"/>
    <w:rsid w:val="0060442E"/>
    <w:rsid w:val="00613DB0"/>
    <w:rsid w:val="00620D12"/>
    <w:rsid w:val="00647ADD"/>
    <w:rsid w:val="006502DF"/>
    <w:rsid w:val="006514FA"/>
    <w:rsid w:val="00651943"/>
    <w:rsid w:val="006531FF"/>
    <w:rsid w:val="006625DB"/>
    <w:rsid w:val="00676171"/>
    <w:rsid w:val="00695100"/>
    <w:rsid w:val="006C69F6"/>
    <w:rsid w:val="006D0138"/>
    <w:rsid w:val="006D51EC"/>
    <w:rsid w:val="006E60A3"/>
    <w:rsid w:val="00701D1E"/>
    <w:rsid w:val="00710EB1"/>
    <w:rsid w:val="007157D4"/>
    <w:rsid w:val="00715F36"/>
    <w:rsid w:val="00722964"/>
    <w:rsid w:val="007408C7"/>
    <w:rsid w:val="00741375"/>
    <w:rsid w:val="00744AA6"/>
    <w:rsid w:val="00795D5A"/>
    <w:rsid w:val="0079719D"/>
    <w:rsid w:val="007A036D"/>
    <w:rsid w:val="007C2130"/>
    <w:rsid w:val="007C7CF2"/>
    <w:rsid w:val="007F4FCE"/>
    <w:rsid w:val="007F6444"/>
    <w:rsid w:val="007F7CBB"/>
    <w:rsid w:val="007F7E8A"/>
    <w:rsid w:val="008015D0"/>
    <w:rsid w:val="008035C1"/>
    <w:rsid w:val="008073F0"/>
    <w:rsid w:val="00817970"/>
    <w:rsid w:val="00822BEC"/>
    <w:rsid w:val="008241B3"/>
    <w:rsid w:val="00834FB1"/>
    <w:rsid w:val="00844A3A"/>
    <w:rsid w:val="008465D0"/>
    <w:rsid w:val="008506E9"/>
    <w:rsid w:val="00866F34"/>
    <w:rsid w:val="00873116"/>
    <w:rsid w:val="00877046"/>
    <w:rsid w:val="00884377"/>
    <w:rsid w:val="00897113"/>
    <w:rsid w:val="008A2225"/>
    <w:rsid w:val="008A7B5E"/>
    <w:rsid w:val="008B4D40"/>
    <w:rsid w:val="008D343F"/>
    <w:rsid w:val="008D6DFC"/>
    <w:rsid w:val="008D70DB"/>
    <w:rsid w:val="008E406F"/>
    <w:rsid w:val="008E7EC3"/>
    <w:rsid w:val="008F3EC3"/>
    <w:rsid w:val="00900A68"/>
    <w:rsid w:val="00913E68"/>
    <w:rsid w:val="00927026"/>
    <w:rsid w:val="00927DA8"/>
    <w:rsid w:val="00933CC4"/>
    <w:rsid w:val="00942C48"/>
    <w:rsid w:val="00944661"/>
    <w:rsid w:val="0099343A"/>
    <w:rsid w:val="009972E6"/>
    <w:rsid w:val="009B2D4E"/>
    <w:rsid w:val="009C1619"/>
    <w:rsid w:val="009C4D8B"/>
    <w:rsid w:val="009D4F75"/>
    <w:rsid w:val="009E594D"/>
    <w:rsid w:val="009F2BBB"/>
    <w:rsid w:val="00A01ED4"/>
    <w:rsid w:val="00A1293E"/>
    <w:rsid w:val="00A12EF5"/>
    <w:rsid w:val="00A16717"/>
    <w:rsid w:val="00A2266C"/>
    <w:rsid w:val="00A31415"/>
    <w:rsid w:val="00A338DD"/>
    <w:rsid w:val="00A35736"/>
    <w:rsid w:val="00A36197"/>
    <w:rsid w:val="00A366C9"/>
    <w:rsid w:val="00A3723E"/>
    <w:rsid w:val="00A420C6"/>
    <w:rsid w:val="00A606BA"/>
    <w:rsid w:val="00A7143B"/>
    <w:rsid w:val="00AA192C"/>
    <w:rsid w:val="00AA6B0C"/>
    <w:rsid w:val="00AB3076"/>
    <w:rsid w:val="00AD0AE6"/>
    <w:rsid w:val="00AD5E44"/>
    <w:rsid w:val="00B10B9A"/>
    <w:rsid w:val="00B12B79"/>
    <w:rsid w:val="00B1357D"/>
    <w:rsid w:val="00B3145B"/>
    <w:rsid w:val="00B37A48"/>
    <w:rsid w:val="00B40D7F"/>
    <w:rsid w:val="00B43EED"/>
    <w:rsid w:val="00B46E8A"/>
    <w:rsid w:val="00B5445B"/>
    <w:rsid w:val="00B552EC"/>
    <w:rsid w:val="00B75377"/>
    <w:rsid w:val="00B86F2F"/>
    <w:rsid w:val="00BA66DF"/>
    <w:rsid w:val="00BE218A"/>
    <w:rsid w:val="00BE7F58"/>
    <w:rsid w:val="00C2096F"/>
    <w:rsid w:val="00C26040"/>
    <w:rsid w:val="00C36FE5"/>
    <w:rsid w:val="00C43426"/>
    <w:rsid w:val="00C44F54"/>
    <w:rsid w:val="00C463F2"/>
    <w:rsid w:val="00C71C81"/>
    <w:rsid w:val="00C82AEF"/>
    <w:rsid w:val="00CA6EFD"/>
    <w:rsid w:val="00CB1CC8"/>
    <w:rsid w:val="00CB3C43"/>
    <w:rsid w:val="00CB49B6"/>
    <w:rsid w:val="00CB4A55"/>
    <w:rsid w:val="00CD0394"/>
    <w:rsid w:val="00CD211B"/>
    <w:rsid w:val="00CD6C29"/>
    <w:rsid w:val="00D25C7B"/>
    <w:rsid w:val="00D32B7D"/>
    <w:rsid w:val="00D400C0"/>
    <w:rsid w:val="00D514BE"/>
    <w:rsid w:val="00D53591"/>
    <w:rsid w:val="00D538BC"/>
    <w:rsid w:val="00D64297"/>
    <w:rsid w:val="00DA0985"/>
    <w:rsid w:val="00DA2153"/>
    <w:rsid w:val="00DA36FC"/>
    <w:rsid w:val="00DB1051"/>
    <w:rsid w:val="00DB5595"/>
    <w:rsid w:val="00DC0F38"/>
    <w:rsid w:val="00DD7D35"/>
    <w:rsid w:val="00DE2062"/>
    <w:rsid w:val="00DF33C7"/>
    <w:rsid w:val="00E127A4"/>
    <w:rsid w:val="00E157C6"/>
    <w:rsid w:val="00E171A8"/>
    <w:rsid w:val="00E21B92"/>
    <w:rsid w:val="00E271EF"/>
    <w:rsid w:val="00E421B5"/>
    <w:rsid w:val="00E57F3B"/>
    <w:rsid w:val="00E81214"/>
    <w:rsid w:val="00E916CA"/>
    <w:rsid w:val="00E921AB"/>
    <w:rsid w:val="00EE7306"/>
    <w:rsid w:val="00EF101F"/>
    <w:rsid w:val="00F03270"/>
    <w:rsid w:val="00F05945"/>
    <w:rsid w:val="00F05DE3"/>
    <w:rsid w:val="00F2163A"/>
    <w:rsid w:val="00F2445D"/>
    <w:rsid w:val="00F259C4"/>
    <w:rsid w:val="00F329D1"/>
    <w:rsid w:val="00F517FB"/>
    <w:rsid w:val="00F5219B"/>
    <w:rsid w:val="00F55DDF"/>
    <w:rsid w:val="00F71924"/>
    <w:rsid w:val="00F76CC8"/>
    <w:rsid w:val="00F77715"/>
    <w:rsid w:val="00F8138D"/>
    <w:rsid w:val="00F92DC3"/>
    <w:rsid w:val="00FA032B"/>
    <w:rsid w:val="00FA2313"/>
    <w:rsid w:val="00FD489E"/>
    <w:rsid w:val="00FF2F8C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B0C4A-E1BC-415F-954A-C4E08205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567" w:right="-142"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567" w:right="-142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567" w:right="-142"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tabs>
        <w:tab w:val="left" w:pos="5954"/>
      </w:tabs>
      <w:ind w:left="567" w:right="-142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left="567" w:right="-142"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6663"/>
      </w:tabs>
      <w:ind w:left="567" w:right="-142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semiHidden/>
    <w:pPr>
      <w:widowControl w:val="0"/>
      <w:tabs>
        <w:tab w:val="left" w:pos="226"/>
        <w:tab w:val="left" w:pos="1126"/>
        <w:tab w:val="left" w:pos="2026"/>
        <w:tab w:val="left" w:pos="2926"/>
        <w:tab w:val="left" w:pos="3826"/>
        <w:tab w:val="left" w:pos="4726"/>
        <w:tab w:val="left" w:pos="5626"/>
        <w:tab w:val="left" w:pos="6526"/>
        <w:tab w:val="left" w:pos="7426"/>
        <w:tab w:val="left" w:pos="8326"/>
        <w:tab w:val="left" w:pos="9226"/>
        <w:tab w:val="left" w:pos="10126"/>
      </w:tabs>
      <w:ind w:left="226" w:right="-847"/>
      <w:jc w:val="both"/>
    </w:pPr>
    <w:rPr>
      <w:sz w:val="24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ind w:right="-142"/>
      <w:jc w:val="both"/>
    </w:pPr>
    <w:rPr>
      <w:sz w:val="24"/>
    </w:rPr>
  </w:style>
  <w:style w:type="paragraph" w:customStyle="1" w:styleId="Cabealho0">
    <w:name w:val="#Cabeçalho"/>
    <w:basedOn w:val="Normal"/>
    <w:pPr>
      <w:spacing w:line="220" w:lineRule="exact"/>
      <w:jc w:val="both"/>
    </w:pPr>
    <w:rPr>
      <w:sz w:val="18"/>
    </w:rPr>
  </w:style>
  <w:style w:type="paragraph" w:styleId="Corpodetexto2">
    <w:name w:val="Body Text 2"/>
    <w:basedOn w:val="Normal"/>
    <w:semiHidden/>
    <w:pPr>
      <w:spacing w:before="120" w:after="120"/>
      <w:ind w:right="51"/>
      <w:jc w:val="both"/>
    </w:pPr>
    <w:rPr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927DA8"/>
  </w:style>
  <w:style w:type="paragraph" w:styleId="Textodebalo">
    <w:name w:val="Balloon Text"/>
    <w:basedOn w:val="Normal"/>
    <w:link w:val="TextodebaloChar"/>
    <w:uiPriority w:val="99"/>
    <w:semiHidden/>
    <w:unhideWhenUsed/>
    <w:rsid w:val="00E17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1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1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 DA COMISSÃO PERMANENTE DE LICITAÇÃO DO TRIBUNAL DE CONTAS DA UNIÃO PARA ABERTURA DO ENVELOPE "DOCUMENTAÇÃO" E "PROPOSTA", REFERENTE AO CONVITE Nº 11/96-CPL, DESTINADO À AQUISIÇÃO DE CÓPIAS DE USO DE SOFTWARE DE GERENCIAMENTO DE BIBLIOTECA (</vt:lpstr>
    </vt:vector>
  </TitlesOfParts>
  <Company>TRIBUNAL DE CONTAS DA UNIAO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 DA COMISSÃO PERMANENTE DE LICITAÇÃO DO TRIBUNAL DE CONTAS DA UNIÃO PARA ABERTURA DO ENVELOPE "DOCUMENTAÇÃO" E "PROPOSTA", REFERENTE AO CONVITE Nº 11/96-CPL, DESTINADO À AQUISIÇÃO DE CÓPIAS DE USO DE SOFTWARE DE GERENCIAMENTO DE BIBLIOTECA (</dc:title>
  <dc:subject/>
  <dc:creator>TCU</dc:creator>
  <cp:keywords/>
  <dc:description/>
  <cp:lastModifiedBy>CamaraMun</cp:lastModifiedBy>
  <cp:revision>2</cp:revision>
  <cp:lastPrinted>2012-10-29T17:31:00Z</cp:lastPrinted>
  <dcterms:created xsi:type="dcterms:W3CDTF">2018-10-30T14:41:00Z</dcterms:created>
  <dcterms:modified xsi:type="dcterms:W3CDTF">2018-10-30T14:41:00Z</dcterms:modified>
</cp:coreProperties>
</file>